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F8" w:rsidRDefault="00DB3EF8" w:rsidP="00DB3EF8">
      <w:pPr>
        <w:pStyle w:val="Heading2"/>
        <w:spacing w:line="240" w:lineRule="auto"/>
        <w:rPr>
          <w:sz w:val="22"/>
          <w:szCs w:val="22"/>
        </w:rPr>
      </w:pPr>
      <w:bookmarkStart w:id="0" w:name="_Toc412658233"/>
      <w:r w:rsidRPr="000C1172">
        <w:rPr>
          <w:sz w:val="22"/>
          <w:szCs w:val="22"/>
        </w:rPr>
        <w:t>HIPAA Special Enrollment Notice</w:t>
      </w:r>
      <w:bookmarkEnd w:id="0"/>
    </w:p>
    <w:p w:rsidR="00DB3EF8" w:rsidRPr="000C1172" w:rsidRDefault="00DB3EF8" w:rsidP="00DB3EF8"/>
    <w:p w:rsidR="00DB3EF8" w:rsidRPr="00525F12" w:rsidRDefault="00DB3EF8" w:rsidP="00DB3EF8">
      <w:pPr>
        <w:spacing w:after="60" w:line="240" w:lineRule="auto"/>
        <w:rPr>
          <w:b/>
          <w:sz w:val="20"/>
        </w:rPr>
      </w:pPr>
      <w:r w:rsidRPr="00525F12">
        <w:rPr>
          <w:b/>
          <w:sz w:val="20"/>
        </w:rPr>
        <w:t>Notice of Special Enrollment Rights for Health Plan Coverage</w:t>
      </w:r>
    </w:p>
    <w:p w:rsidR="00DB3EF8" w:rsidRPr="00525F12" w:rsidRDefault="00DB3EF8" w:rsidP="00DB3EF8">
      <w:pPr>
        <w:spacing w:line="240" w:lineRule="auto"/>
        <w:rPr>
          <w:sz w:val="20"/>
        </w:rPr>
      </w:pPr>
      <w:r w:rsidRPr="00525F12">
        <w:rPr>
          <w:sz w:val="20"/>
        </w:rPr>
        <w:t>If you decline enrollment in New Enterprise Stone &amp; Lime Co., Inc.’s health plan for you or your dependents (including your spouse) because of other health insurance or group health plan coverage, you or your dependents may be able to enroll in New Enterprise Stone &amp; Lime Co., Inc.’s health plan without waiting for the next open enrollment period if you:</w:t>
      </w:r>
    </w:p>
    <w:p w:rsidR="00DB3EF8" w:rsidRPr="00525F12" w:rsidRDefault="00DB3EF8" w:rsidP="00DB3EF8">
      <w:pPr>
        <w:pStyle w:val="ListBullet"/>
        <w:spacing w:before="120" w:line="240" w:lineRule="auto"/>
        <w:contextualSpacing w:val="0"/>
        <w:rPr>
          <w:sz w:val="20"/>
        </w:rPr>
      </w:pPr>
      <w:r w:rsidRPr="00525F12">
        <w:rPr>
          <w:sz w:val="20"/>
        </w:rPr>
        <w:t>Lose other health insurance or group health plan coverage. You must request enrollment within 31 days after the loss of other coverage.</w:t>
      </w:r>
    </w:p>
    <w:p w:rsidR="00DB3EF8" w:rsidRPr="00525F12" w:rsidRDefault="00DB3EF8" w:rsidP="00DB3EF8">
      <w:pPr>
        <w:pStyle w:val="ListBullet"/>
        <w:spacing w:before="120" w:line="240" w:lineRule="auto"/>
        <w:contextualSpacing w:val="0"/>
        <w:rPr>
          <w:sz w:val="20"/>
        </w:rPr>
      </w:pPr>
      <w:r w:rsidRPr="00525F12">
        <w:rPr>
          <w:sz w:val="20"/>
        </w:rPr>
        <w:t>Gain a new dependent as a result of marriage, birth, adoption, or placement for adoption. You must request health plan enrollment within 31 days after the marriage, birth, adoption, or placement for adoption.</w:t>
      </w:r>
    </w:p>
    <w:p w:rsidR="00DB3EF8" w:rsidRPr="00525F12" w:rsidRDefault="00DB3EF8" w:rsidP="00DB3EF8">
      <w:pPr>
        <w:pStyle w:val="ListBullet"/>
        <w:spacing w:before="120" w:line="240" w:lineRule="auto"/>
        <w:contextualSpacing w:val="0"/>
        <w:rPr>
          <w:sz w:val="20"/>
        </w:rPr>
      </w:pPr>
      <w:r w:rsidRPr="00525F12">
        <w:rPr>
          <w:sz w:val="20"/>
        </w:rPr>
        <w:t xml:space="preserve">Lose Medicaid or Children’s Health Insurance Program (CHIP) coverage because you are no longer eligible. You must request medical plan enrollment within </w:t>
      </w:r>
      <w:r w:rsidRPr="00525F12">
        <w:rPr>
          <w:i/>
          <w:iCs/>
          <w:sz w:val="20"/>
        </w:rPr>
        <w:t>60 days</w:t>
      </w:r>
      <w:r w:rsidRPr="00525F12">
        <w:rPr>
          <w:sz w:val="20"/>
        </w:rPr>
        <w:t xml:space="preserve"> after the loss of such coverage.</w:t>
      </w:r>
    </w:p>
    <w:p w:rsidR="00DB3EF8" w:rsidRPr="00525F12" w:rsidRDefault="00DB3EF8" w:rsidP="00DB3EF8">
      <w:pPr>
        <w:spacing w:line="240" w:lineRule="auto"/>
        <w:rPr>
          <w:sz w:val="20"/>
        </w:rPr>
      </w:pPr>
    </w:p>
    <w:p w:rsidR="00DB3EF8" w:rsidRPr="00525F12" w:rsidRDefault="00DB3EF8" w:rsidP="00DB3EF8">
      <w:pPr>
        <w:spacing w:line="240" w:lineRule="auto"/>
        <w:rPr>
          <w:sz w:val="20"/>
        </w:rPr>
      </w:pPr>
      <w:r w:rsidRPr="00525F12">
        <w:rPr>
          <w:sz w:val="20"/>
        </w:rPr>
        <w:t xml:space="preserve">If you request a change due to a special enrollment event within the 31 day timeframe, coverage will be effective the date of the effective change. In addition, you may enroll in New Enterprise Stone &amp; Lime Co., Inc.’s medical plan if you become eligible for a state premium assistance program under Medicaid or CHIP. You must request enrollment within </w:t>
      </w:r>
      <w:r w:rsidRPr="00525F12">
        <w:rPr>
          <w:i/>
          <w:iCs/>
          <w:sz w:val="20"/>
        </w:rPr>
        <w:t>60 days</w:t>
      </w:r>
      <w:r w:rsidRPr="00525F12">
        <w:rPr>
          <w:sz w:val="20"/>
        </w:rPr>
        <w:t xml:space="preserve"> after you gain eligibility for medical plan coverage. If you request this change, coverage will be effective the first of the month following your request for enrollment. Specific restrictions may apply, depending on federal and state law.</w:t>
      </w:r>
    </w:p>
    <w:p w:rsidR="00DB3EF8" w:rsidRPr="00525F12" w:rsidRDefault="00DB3EF8" w:rsidP="00DB3EF8">
      <w:pPr>
        <w:spacing w:line="240" w:lineRule="auto"/>
        <w:rPr>
          <w:sz w:val="20"/>
        </w:rPr>
      </w:pPr>
    </w:p>
    <w:p w:rsidR="00DB3EF8" w:rsidRDefault="00DB3EF8" w:rsidP="00DB3EF8">
      <w:pPr>
        <w:autoSpaceDE w:val="0"/>
        <w:autoSpaceDN w:val="0"/>
        <w:adjustRightInd w:val="0"/>
        <w:spacing w:line="240" w:lineRule="auto"/>
        <w:rPr>
          <w:sz w:val="20"/>
        </w:rPr>
      </w:pPr>
      <w:r w:rsidRPr="00525F12">
        <w:rPr>
          <w:sz w:val="20"/>
        </w:rPr>
        <w:t xml:space="preserve">Note: If your dependent becomes eligible for a special enrollment rights, you may add the dependent to your current coverage or change to another health plan. </w:t>
      </w:r>
    </w:p>
    <w:p w:rsidR="00DB3EF8" w:rsidRDefault="00DB3EF8" w:rsidP="00DB3EF8">
      <w:pPr>
        <w:autoSpaceDE w:val="0"/>
        <w:autoSpaceDN w:val="0"/>
        <w:adjustRightInd w:val="0"/>
        <w:spacing w:line="240" w:lineRule="auto"/>
        <w:rPr>
          <w:sz w:val="20"/>
        </w:rPr>
      </w:pPr>
    </w:p>
    <w:p w:rsidR="00DB3EF8" w:rsidRDefault="00DB3EF8" w:rsidP="00DB3EF8">
      <w:pPr>
        <w:autoSpaceDE w:val="0"/>
        <w:autoSpaceDN w:val="0"/>
        <w:adjustRightInd w:val="0"/>
        <w:spacing w:line="240" w:lineRule="auto"/>
        <w:rPr>
          <w:sz w:val="20"/>
        </w:rPr>
      </w:pPr>
      <w:r w:rsidRPr="00255066">
        <w:rPr>
          <w:b/>
          <w:smallCaps/>
          <w:szCs w:val="22"/>
        </w:rPr>
        <w:t>It is your obligation to notify us of a qualifying event.</w:t>
      </w:r>
      <w:r>
        <w:rPr>
          <w:b/>
          <w:sz w:val="20"/>
        </w:rPr>
        <w:t xml:space="preserve"> </w:t>
      </w:r>
      <w:r>
        <w:rPr>
          <w:sz w:val="20"/>
        </w:rPr>
        <w:t>Other qualifying events to add or delete dependents are:</w:t>
      </w:r>
    </w:p>
    <w:p w:rsidR="00DB3EF8" w:rsidRDefault="00DB3EF8" w:rsidP="00DB3EF8">
      <w:pPr>
        <w:pStyle w:val="ListParagraph"/>
        <w:numPr>
          <w:ilvl w:val="0"/>
          <w:numId w:val="2"/>
        </w:numPr>
        <w:autoSpaceDE w:val="0"/>
        <w:autoSpaceDN w:val="0"/>
        <w:adjustRightInd w:val="0"/>
        <w:spacing w:line="240" w:lineRule="auto"/>
        <w:rPr>
          <w:sz w:val="20"/>
        </w:rPr>
      </w:pPr>
      <w:r>
        <w:rPr>
          <w:sz w:val="20"/>
        </w:rPr>
        <w:t xml:space="preserve">Divorce or legal separation (within 60 days) </w:t>
      </w:r>
    </w:p>
    <w:p w:rsidR="00DB3EF8" w:rsidRDefault="00DB3EF8" w:rsidP="00DB3EF8">
      <w:pPr>
        <w:pStyle w:val="ListParagraph"/>
        <w:numPr>
          <w:ilvl w:val="0"/>
          <w:numId w:val="2"/>
        </w:numPr>
        <w:autoSpaceDE w:val="0"/>
        <w:autoSpaceDN w:val="0"/>
        <w:adjustRightInd w:val="0"/>
        <w:spacing w:line="240" w:lineRule="auto"/>
        <w:rPr>
          <w:sz w:val="20"/>
        </w:rPr>
      </w:pPr>
      <w:r>
        <w:rPr>
          <w:sz w:val="20"/>
        </w:rPr>
        <w:t>Death</w:t>
      </w:r>
    </w:p>
    <w:p w:rsidR="00DB3EF8" w:rsidRDefault="00DB3EF8" w:rsidP="00DB3EF8">
      <w:pPr>
        <w:pStyle w:val="ListParagraph"/>
        <w:numPr>
          <w:ilvl w:val="0"/>
          <w:numId w:val="2"/>
        </w:numPr>
        <w:autoSpaceDE w:val="0"/>
        <w:autoSpaceDN w:val="0"/>
        <w:adjustRightInd w:val="0"/>
        <w:spacing w:line="240" w:lineRule="auto"/>
        <w:rPr>
          <w:sz w:val="20"/>
        </w:rPr>
      </w:pPr>
      <w:r>
        <w:rPr>
          <w:sz w:val="20"/>
        </w:rPr>
        <w:t>You or your spouse/dependent begins or end employment (within 31 days)</w:t>
      </w:r>
    </w:p>
    <w:p w:rsidR="00EC3C6C" w:rsidRDefault="00EC3C6C">
      <w:bookmarkStart w:id="1" w:name="_GoBack"/>
      <w:bookmarkEnd w:id="1"/>
    </w:p>
    <w:sectPr w:rsidR="00EC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7DA9"/>
    <w:multiLevelType w:val="hybridMultilevel"/>
    <w:tmpl w:val="2B1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A0216"/>
    <w:multiLevelType w:val="multilevel"/>
    <w:tmpl w:val="157CA52C"/>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F8"/>
    <w:rsid w:val="00DB3EF8"/>
    <w:rsid w:val="00E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CCE25-0568-4D2F-857D-C5FA1126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F8"/>
    <w:pPr>
      <w:spacing w:after="0" w:line="260" w:lineRule="atLeast"/>
    </w:pPr>
    <w:rPr>
      <w:rFonts w:ascii="Arial" w:eastAsia="Times New Roman" w:hAnsi="Arial" w:cs="Arial"/>
      <w:szCs w:val="20"/>
    </w:rPr>
  </w:style>
  <w:style w:type="paragraph" w:styleId="Heading2">
    <w:name w:val="heading 2"/>
    <w:basedOn w:val="Normal"/>
    <w:next w:val="Normal"/>
    <w:link w:val="Heading2Char"/>
    <w:qFormat/>
    <w:rsid w:val="00DB3EF8"/>
    <w:pPr>
      <w:keepNext/>
      <w:spacing w:line="32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EF8"/>
    <w:rPr>
      <w:rFonts w:ascii="Arial" w:eastAsia="Times New Roman" w:hAnsi="Arial" w:cs="Arial"/>
      <w:b/>
      <w:sz w:val="28"/>
      <w:szCs w:val="20"/>
    </w:rPr>
  </w:style>
  <w:style w:type="paragraph" w:styleId="ListBullet">
    <w:name w:val="List Bullet"/>
    <w:basedOn w:val="Normal"/>
    <w:rsid w:val="00DB3EF8"/>
    <w:pPr>
      <w:numPr>
        <w:ilvl w:val="4"/>
        <w:numId w:val="1"/>
      </w:numPr>
      <w:contextualSpacing/>
      <w:outlineLvl w:val="4"/>
    </w:pPr>
  </w:style>
  <w:style w:type="paragraph" w:styleId="ListBullet2">
    <w:name w:val="List Bullet 2"/>
    <w:basedOn w:val="Normal"/>
    <w:rsid w:val="00DB3EF8"/>
    <w:pPr>
      <w:numPr>
        <w:ilvl w:val="5"/>
        <w:numId w:val="1"/>
      </w:numPr>
      <w:contextualSpacing/>
      <w:outlineLvl w:val="5"/>
    </w:pPr>
  </w:style>
  <w:style w:type="paragraph" w:styleId="ListBullet3">
    <w:name w:val="List Bullet 3"/>
    <w:basedOn w:val="Normal"/>
    <w:rsid w:val="00DB3EF8"/>
    <w:pPr>
      <w:numPr>
        <w:ilvl w:val="6"/>
        <w:numId w:val="1"/>
      </w:numPr>
      <w:contextualSpacing/>
      <w:outlineLvl w:val="6"/>
    </w:pPr>
  </w:style>
  <w:style w:type="paragraph" w:styleId="ListBullet4">
    <w:name w:val="List Bullet 4"/>
    <w:basedOn w:val="Normal"/>
    <w:rsid w:val="00DB3EF8"/>
    <w:pPr>
      <w:numPr>
        <w:ilvl w:val="7"/>
        <w:numId w:val="1"/>
      </w:numPr>
      <w:contextualSpacing/>
      <w:outlineLvl w:val="7"/>
    </w:pPr>
  </w:style>
  <w:style w:type="paragraph" w:styleId="ListParagraph">
    <w:name w:val="List Paragraph"/>
    <w:basedOn w:val="Normal"/>
    <w:uiPriority w:val="34"/>
    <w:qFormat/>
    <w:rsid w:val="00DB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ct:contentTypeSchema ct:_="" ma:_="" ma:contentTypeName="Document" ma:contentTypeID="0x010100BB6E5A2E8F043044A0844CE771FB4961" ma:contentTypeVersion="0" ma:contentTypeDescription="Create a new document." ma:contentTypeScope="" ma:versionID="3e47d94126b4e3b825bc545cd7846ab9" xmlns:ct="http://schemas.microsoft.com/office/2006/metadata/contentType" xmlns:ma="http://schemas.microsoft.com/office/2006/metadata/properties/metaAttributes">
<xsd:schema targetNamespace="http://schemas.microsoft.com/office/2006/metadata/properties" ma:root="true" ma:fieldsID="98a5caaf7cc5a0a02916893136ef6fea" ns2:_="" ns3:_="" xmlns:xsd="http://www.w3.org/2001/XMLSchema" xmlns:xs="http://www.w3.org/2001/XMLSchema" xmlns:p="http://schemas.microsoft.com/office/2006/metadata/properties" xmlns:ns2="927b4a88-455d-49ee-9924-5771f9a8975e" xmlns:ns3="$ListId:Shared Documents;">
<xsd:import namespace="927b4a88-455d-49ee-9924-5771f9a8975e"/>
<xsd:import namespace="$ListId:Shared Documents;"/>
<xsd:element name="properties">
<xsd:complexType>
<xsd:sequence>
<xsd:element name="documentManagement">
<xsd:complexType>
<xsd:all>
<xsd:element ref="ns2:_dlc_DocId" minOccurs="0"/>
<xsd:element ref="ns2:_dlc_DocIdUrl" minOccurs="0"/>
<xsd:element ref="ns2:_dlc_DocIdPersistId" minOccurs="0"/>
<xsd:element ref="ns3:Documentation_x0020_Type" minOccurs="0"/>
</xsd:all>
</xsd:complexType>
</xsd:element>
</xsd:sequence>
</xsd:complexType>
</xsd:element>
</xsd:schema>
<xsd:schema targetNamespace="927b4a88-455d-49ee-9924-5771f9a8975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ation_x0020_Type" ma:index="11" nillable="true" ma:displayName="Documentation Type" ma:default="Charter" ma:format="Dropdown" ma:internalName="Documentation_x0020_Type">
<xsd:simpleType>
<xsd:restriction base="dms:Choice">
<xsd:enumeration value="Charter"/>
<xsd:enumeration value="Design"/>
<xsd:enumeration value="Testing"/>
<xsd:enumeration value="Training"/>
<xsd:enumeration value="Communication"/>
<xsd:enumeration value="Master Data"/>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Documentation_x0020_Type xmlns="$ListId:Shared Documents;">Charter</Documentation_x0020_Type><_dlc_DocId xmlns="927b4a88-455d-49ee-9924-5771f9a8975e">AV6FUCSYSFA2-655-36</_dlc_DocId><_dlc_DocIdUrl xmlns="927b4a88-455d-49ee-9924-5771f9a8975e"><Url>https://sp.mynesl.com/NESL/projmgmt/IT/NESLwebsitephase2/_layouts/DocIdRedir.aspx?ID=AV6FUCSYSFA2-655-36</Url><Description>AV6FUCSYSFA2-655-36</Description></_dlc_DocIdUrl></documentManagement></p:properties>
</file>

<file path=customXml/itemProps1.xml><?xml version="1.0" encoding="utf-8"?>
<ds:datastoreItem xmlns:ds="http://schemas.openxmlformats.org/officeDocument/2006/customXml" ds:itemID="{132AB524-2C50-420C-8D93-8C23F25BE2C6}"/>
</file>

<file path=customXml/itemProps2.xml><?xml version="1.0" encoding="utf-8"?>
<ds:datastoreItem xmlns:ds="http://schemas.openxmlformats.org/officeDocument/2006/customXml" ds:itemID="{67C49D01-9073-4241-B17B-C5F71CBE0FEF}"/>
</file>

<file path=customXml/itemProps3.xml><?xml version="1.0" encoding="utf-8"?>
<ds:datastoreItem xmlns:ds="http://schemas.openxmlformats.org/officeDocument/2006/customXml" ds:itemID="{F3B89850-DEE1-4B6C-82A7-3E3B8EFAB933}"/>
</file>

<file path=customXml/itemProps4.xml><?xml version="1.0" encoding="utf-8"?>
<ds:datastoreItem xmlns:ds="http://schemas.openxmlformats.org/officeDocument/2006/customXml" ds:itemID="{926BDF8C-D21B-4119-A576-ABB42C0C0143}"/>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Enterprise Stone &amp; Lime Co., Inc.</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Lepako</dc:creator>
  <cp:keywords/>
  <dc:description/>
  <cp:lastModifiedBy>Joy Lepako</cp:lastModifiedBy>
  <cp:revision>1</cp:revision>
  <dcterms:created xsi:type="dcterms:W3CDTF">2016-05-23T17:50:00Z</dcterms:created>
  <dcterms:modified xsi:type="dcterms:W3CDTF">2016-05-23T17:50:00Z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0x010100BB6E5A2E8F043044A0844CE771FB4961</vt:lpwstr>
  </property>
  <property fmtid="{D5CDD505-2E9C-101B-9397-08002B2CF9AE}" pid="3" name="_dlc_DocIdItemGuid">
    <vt:lpwstr>4584c116-1c2f-4cfc-b392-9794f5d5347c</vt:lpwstr>
  </property>
</Properties>
</file>